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50" w:lineRule="atLeast"/>
        <w:jc w:val="center"/>
        <w:outlineLvl w:val="1"/>
        <w:rPr>
          <w:rFonts w:ascii="微软雅黑" w:hAnsi="微软雅黑" w:eastAsia="宋体" w:cs="宋体"/>
          <w:b/>
          <w:bCs/>
          <w:kern w:val="0"/>
          <w:sz w:val="27"/>
          <w:szCs w:val="27"/>
        </w:rPr>
      </w:pPr>
      <w:r>
        <w:rPr>
          <w:rFonts w:hint="eastAsia" w:ascii="微软雅黑" w:hAnsi="微软雅黑" w:eastAsia="宋体" w:cs="宋体"/>
          <w:b/>
          <w:bCs/>
          <w:kern w:val="0"/>
          <w:sz w:val="27"/>
          <w:szCs w:val="27"/>
        </w:rPr>
        <w:t>杭银理财</w:t>
      </w:r>
      <w:r>
        <w:rPr>
          <w:rFonts w:ascii="微软雅黑" w:hAnsi="微软雅黑" w:eastAsia="宋体" w:cs="宋体"/>
          <w:b/>
          <w:bCs/>
          <w:kern w:val="0"/>
          <w:sz w:val="27"/>
          <w:szCs w:val="27"/>
        </w:rPr>
        <w:t>幸福99</w:t>
      </w:r>
      <w:r>
        <w:rPr>
          <w:rFonts w:hint="eastAsia" w:ascii="微软雅黑" w:hAnsi="微软雅黑" w:eastAsia="宋体" w:cs="宋体"/>
          <w:b/>
          <w:bCs/>
          <w:kern w:val="0"/>
          <w:sz w:val="27"/>
          <w:szCs w:val="27"/>
        </w:rPr>
        <w:t>半年</w:t>
      </w:r>
      <w:r>
        <w:rPr>
          <w:rFonts w:ascii="微软雅黑" w:hAnsi="微软雅黑" w:eastAsia="宋体" w:cs="宋体"/>
          <w:b/>
          <w:bCs/>
          <w:kern w:val="0"/>
          <w:sz w:val="27"/>
          <w:szCs w:val="27"/>
        </w:rPr>
        <w:t>添益</w:t>
      </w:r>
      <w:r>
        <w:rPr>
          <w:rFonts w:hint="eastAsia" w:ascii="微软雅黑" w:hAnsi="微软雅黑" w:eastAsia="宋体" w:cs="宋体"/>
          <w:b/>
          <w:bCs/>
          <w:kern w:val="0"/>
          <w:sz w:val="27"/>
          <w:szCs w:val="27"/>
          <w:lang w:val="en-US" w:eastAsia="zh-CN"/>
        </w:rPr>
        <w:t>1802</w:t>
      </w:r>
      <w:r>
        <w:rPr>
          <w:rFonts w:ascii="微软雅黑" w:hAnsi="微软雅黑" w:eastAsia="宋体" w:cs="宋体"/>
          <w:b/>
          <w:bCs/>
          <w:kern w:val="0"/>
          <w:sz w:val="27"/>
          <w:szCs w:val="27"/>
        </w:rPr>
        <w:t>期理财计划</w:t>
      </w:r>
    </w:p>
    <w:p>
      <w:pPr>
        <w:widowControl/>
        <w:spacing w:line="750" w:lineRule="atLeast"/>
        <w:jc w:val="center"/>
        <w:outlineLvl w:val="1"/>
        <w:rPr>
          <w:rFonts w:ascii="微软雅黑" w:hAnsi="微软雅黑" w:eastAsia="宋体" w:cs="宋体"/>
          <w:b/>
          <w:bCs/>
          <w:kern w:val="0"/>
          <w:sz w:val="27"/>
          <w:szCs w:val="27"/>
        </w:rPr>
      </w:pPr>
      <w:r>
        <w:rPr>
          <w:rFonts w:ascii="微软雅黑" w:hAnsi="微软雅黑" w:eastAsia="宋体" w:cs="宋体"/>
          <w:b/>
          <w:bCs/>
          <w:kern w:val="0"/>
          <w:sz w:val="27"/>
          <w:szCs w:val="27"/>
        </w:rPr>
        <w:t>运行公告</w:t>
      </w:r>
    </w:p>
    <w:p>
      <w:pPr>
        <w:widowControl/>
        <w:spacing w:before="100" w:beforeAutospacing="1" w:after="100" w:afterAutospacing="1"/>
        <w:jc w:val="left"/>
        <w:rPr>
          <w:rFonts w:ascii="微软雅黑" w:hAnsi="微软雅黑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尊敬的投资者：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   杭银理财幸福</w:t>
      </w:r>
      <w:r>
        <w:rPr>
          <w:rFonts w:ascii="Times New Roman" w:hAnsi="Times New Roman" w:eastAsia="宋体" w:cs="Times New Roman"/>
          <w:kern w:val="0"/>
          <w:sz w:val="24"/>
        </w:rPr>
        <w:t>99</w:t>
      </w:r>
      <w:r>
        <w:rPr>
          <w:rFonts w:hint="eastAsia" w:ascii="宋体" w:hAnsi="宋体" w:eastAsia="宋体" w:cs="宋体"/>
          <w:kern w:val="0"/>
          <w:sz w:val="24"/>
        </w:rPr>
        <w:t>半年添益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1802</w:t>
      </w:r>
      <w:r>
        <w:rPr>
          <w:rFonts w:hint="default" w:ascii="Times New Roman" w:hAnsi="Times New Roman" w:eastAsia="宋体" w:cs="Times New Roman"/>
          <w:kern w:val="0"/>
          <w:sz w:val="24"/>
        </w:rPr>
        <w:t>期</w:t>
      </w:r>
      <w:r>
        <w:rPr>
          <w:rFonts w:hint="eastAsia" w:ascii="宋体" w:hAnsi="宋体" w:eastAsia="宋体" w:cs="宋体"/>
          <w:kern w:val="0"/>
          <w:sz w:val="24"/>
        </w:rPr>
        <w:t>理财计划</w:t>
      </w:r>
      <w:r>
        <w:rPr>
          <w:rFonts w:ascii="Times New Roman" w:hAnsi="Times New Roman" w:eastAsia="宋体" w:cs="Times New Roman"/>
          <w:kern w:val="0"/>
          <w:sz w:val="24"/>
        </w:rPr>
        <w:t>(</w:t>
      </w:r>
      <w:r>
        <w:rPr>
          <w:rFonts w:hint="eastAsia" w:ascii="宋体" w:hAnsi="宋体" w:eastAsia="宋体" w:cs="宋体"/>
          <w:kern w:val="0"/>
          <w:sz w:val="24"/>
        </w:rPr>
        <w:t>产品代码：</w:t>
      </w:r>
      <w:r>
        <w:rPr>
          <w:rFonts w:ascii="Times New Roman" w:hAnsi="Times New Roman" w:eastAsia="宋体" w:cs="Times New Roman"/>
          <w:kern w:val="0"/>
          <w:sz w:val="24"/>
        </w:rPr>
        <w:t>TYG</w:t>
      </w:r>
      <w:bookmarkStart w:id="0" w:name="_GoBack"/>
      <w:bookmarkEnd w:id="0"/>
      <w:r>
        <w:rPr>
          <w:rFonts w:hint="eastAsia" w:ascii="Times New Roman" w:hAnsi="Times New Roman" w:eastAsia="宋体" w:cs="Times New Roman"/>
          <w:kern w:val="0"/>
          <w:sz w:val="24"/>
        </w:rPr>
        <w:t>6</w:t>
      </w:r>
      <w:r>
        <w:rPr>
          <w:rFonts w:ascii="Times New Roman" w:hAnsi="Times New Roman" w:eastAsia="宋体" w:cs="Times New Roman"/>
          <w:kern w:val="0"/>
          <w:sz w:val="24"/>
        </w:rPr>
        <w:t>M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1802</w:t>
      </w:r>
      <w:r>
        <w:rPr>
          <w:rFonts w:ascii="Times New Roman" w:hAnsi="Times New Roman" w:eastAsia="宋体" w:cs="Times New Roman"/>
          <w:kern w:val="0"/>
          <w:sz w:val="24"/>
        </w:rPr>
        <w:t>)</w:t>
      </w:r>
      <w:r>
        <w:rPr>
          <w:rFonts w:hint="eastAsia" w:ascii="宋体" w:hAnsi="宋体" w:eastAsia="宋体" w:cs="宋体"/>
          <w:kern w:val="0"/>
          <w:sz w:val="24"/>
        </w:rPr>
        <w:t>最新运作周期已运行结束，产品运行正常。理财产品单位净值及折合收益率见下表：</w:t>
      </w:r>
    </w:p>
    <w:tbl>
      <w:tblPr>
        <w:tblStyle w:val="6"/>
        <w:tblW w:w="10580" w:type="dxa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2980"/>
        <w:gridCol w:w="700"/>
        <w:gridCol w:w="1400"/>
        <w:gridCol w:w="1080"/>
        <w:gridCol w:w="1360"/>
        <w:gridCol w:w="15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运作周期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运行周期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运作天数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确认日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确认净值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业绩比较基准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单周期折合年化收益率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第7运作周期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2021-11-17至2022-05-24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189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2022-05-25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3.95%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第6运作周期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2021-05-19至2021-11-16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2021-11-17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1.1328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3.85%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4.3963%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第5运作周期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2020-11-18至2021-05-18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2021-05-19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1.1085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3.80%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3.8163%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第4运作周期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2020-05-19至2020-11-17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183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2020-11-18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1.0878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3.90%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3.9072%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第3运作周期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2019-11-19至2020-05-18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2020-05-19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1.0669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4.10%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4.1637%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第2运作周期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2019-05-17至2019-11-18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186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2019-11-19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1.0452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4.25%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4.2781%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第1运作周期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2018-11-16至2019-05-16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2019-05-17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1.0229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4.55%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  <w:lang w:val="en-US" w:eastAsia="zh-CN"/>
              </w:rPr>
              <w:t>4.5926%</w:t>
            </w:r>
          </w:p>
        </w:tc>
      </w:tr>
    </w:tbl>
    <w:p>
      <w:pPr>
        <w:widowControl/>
        <w:spacing w:before="100" w:beforeAutospacing="1" w:after="100" w:afterAutospacing="1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t>下一运作周期确认日如遇节假日</w:t>
      </w:r>
      <w:r>
        <w:rPr>
          <w:rFonts w:hint="eastAsia" w:ascii="宋体" w:hAnsi="宋体" w:eastAsia="宋体" w:cs="宋体"/>
          <w:kern w:val="0"/>
          <w:sz w:val="24"/>
        </w:rPr>
        <w:t>，</w:t>
      </w:r>
      <w:r>
        <w:rPr>
          <w:rFonts w:ascii="宋体" w:hAnsi="宋体" w:eastAsia="宋体" w:cs="宋体"/>
          <w:kern w:val="0"/>
          <w:sz w:val="24"/>
        </w:rPr>
        <w:t>则顺延</w:t>
      </w:r>
      <w:r>
        <w:rPr>
          <w:rFonts w:hint="eastAsia" w:ascii="宋体" w:hAnsi="宋体" w:eastAsia="宋体" w:cs="宋体"/>
          <w:kern w:val="0"/>
          <w:sz w:val="24"/>
        </w:rPr>
        <w:t>。</w:t>
      </w:r>
    </w:p>
    <w:p>
      <w:pPr>
        <w:widowControl/>
        <w:spacing w:before="100" w:beforeAutospacing="1" w:after="100" w:afterAutospacing="1"/>
        <w:jc w:val="righ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杭银理财有限责任公司</w:t>
      </w:r>
    </w:p>
    <w:p>
      <w:pPr>
        <w:widowControl/>
        <w:spacing w:before="100" w:beforeAutospacing="1" w:after="100" w:afterAutospacing="1"/>
        <w:jc w:val="righ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</w:rPr>
        <w:t>2021-1</w:t>
      </w:r>
      <w:r>
        <w:rPr>
          <w:rFonts w:hint="eastAsia" w:ascii="宋体" w:hAnsi="宋体" w:eastAsia="宋体" w:cs="宋体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</w:rPr>
        <w:t>-</w:t>
      </w:r>
      <w:r>
        <w:rPr>
          <w:rFonts w:hint="eastAsia" w:ascii="宋体" w:hAnsi="宋体" w:eastAsia="宋体" w:cs="宋体"/>
          <w:kern w:val="0"/>
          <w:sz w:val="24"/>
          <w:lang w:val="en-US" w:eastAsia="zh-CN"/>
        </w:rPr>
        <w:t>17</w:t>
      </w:r>
    </w:p>
    <w:p>
      <w:pPr>
        <w:widowControl/>
        <w:spacing w:before="100" w:beforeAutospacing="1" w:after="100" w:afterAutospacing="1"/>
        <w:jc w:val="left"/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1034D"/>
    <w:rsid w:val="0000416B"/>
    <w:rsid w:val="00012DB8"/>
    <w:rsid w:val="00043A3C"/>
    <w:rsid w:val="0006093E"/>
    <w:rsid w:val="0008752F"/>
    <w:rsid w:val="000F03DF"/>
    <w:rsid w:val="000F1D5F"/>
    <w:rsid w:val="000F7003"/>
    <w:rsid w:val="00134EA3"/>
    <w:rsid w:val="001650DC"/>
    <w:rsid w:val="001A02E0"/>
    <w:rsid w:val="0031061D"/>
    <w:rsid w:val="00346A73"/>
    <w:rsid w:val="004668A3"/>
    <w:rsid w:val="004E0FB2"/>
    <w:rsid w:val="005005DB"/>
    <w:rsid w:val="0065757D"/>
    <w:rsid w:val="0069036F"/>
    <w:rsid w:val="006F20DD"/>
    <w:rsid w:val="00745BD4"/>
    <w:rsid w:val="0075180D"/>
    <w:rsid w:val="007D0FB3"/>
    <w:rsid w:val="00907EAC"/>
    <w:rsid w:val="009A0334"/>
    <w:rsid w:val="009C2D60"/>
    <w:rsid w:val="00A03DB1"/>
    <w:rsid w:val="00A66D08"/>
    <w:rsid w:val="00AD58AB"/>
    <w:rsid w:val="00B1034D"/>
    <w:rsid w:val="00B66DF7"/>
    <w:rsid w:val="00B670EF"/>
    <w:rsid w:val="00C67049"/>
    <w:rsid w:val="00CD422C"/>
    <w:rsid w:val="00CD7A43"/>
    <w:rsid w:val="00D00B75"/>
    <w:rsid w:val="00D52252"/>
    <w:rsid w:val="00DE490B"/>
    <w:rsid w:val="00DF4F5C"/>
    <w:rsid w:val="00E00B95"/>
    <w:rsid w:val="00E138DF"/>
    <w:rsid w:val="00E44AED"/>
    <w:rsid w:val="00EC752C"/>
    <w:rsid w:val="00F20A3E"/>
    <w:rsid w:val="00F60ABD"/>
    <w:rsid w:val="00FF1355"/>
    <w:rsid w:val="03EC2E25"/>
    <w:rsid w:val="049658ED"/>
    <w:rsid w:val="092D7919"/>
    <w:rsid w:val="0D106FF4"/>
    <w:rsid w:val="0FC92AD9"/>
    <w:rsid w:val="13E72A5D"/>
    <w:rsid w:val="18703E7E"/>
    <w:rsid w:val="19F446C1"/>
    <w:rsid w:val="253F0470"/>
    <w:rsid w:val="289D5DD0"/>
    <w:rsid w:val="28F63018"/>
    <w:rsid w:val="296112D0"/>
    <w:rsid w:val="2A0B70C4"/>
    <w:rsid w:val="2B73014E"/>
    <w:rsid w:val="2CFC1312"/>
    <w:rsid w:val="2D560209"/>
    <w:rsid w:val="30945C70"/>
    <w:rsid w:val="34EC37FD"/>
    <w:rsid w:val="35473CE5"/>
    <w:rsid w:val="3998288C"/>
    <w:rsid w:val="3A8A56BA"/>
    <w:rsid w:val="3DD702C1"/>
    <w:rsid w:val="3E9C3DE0"/>
    <w:rsid w:val="3FC67C34"/>
    <w:rsid w:val="404B34EE"/>
    <w:rsid w:val="430A0F94"/>
    <w:rsid w:val="446A319A"/>
    <w:rsid w:val="4A253EC2"/>
    <w:rsid w:val="4D0B33AB"/>
    <w:rsid w:val="4FA43FED"/>
    <w:rsid w:val="503F7218"/>
    <w:rsid w:val="52D302B2"/>
    <w:rsid w:val="55784409"/>
    <w:rsid w:val="57E308D8"/>
    <w:rsid w:val="582D638C"/>
    <w:rsid w:val="627E0DF4"/>
    <w:rsid w:val="652B7CA0"/>
    <w:rsid w:val="66DA6775"/>
    <w:rsid w:val="698F38A9"/>
    <w:rsid w:val="6A7A09CB"/>
    <w:rsid w:val="6B76071D"/>
    <w:rsid w:val="6BBE066B"/>
    <w:rsid w:val="6C065F58"/>
    <w:rsid w:val="6D764BBE"/>
    <w:rsid w:val="6ED4051E"/>
    <w:rsid w:val="766018A7"/>
    <w:rsid w:val="76DE23D1"/>
    <w:rsid w:val="78D735E0"/>
    <w:rsid w:val="7AD714E2"/>
    <w:rsid w:val="7BEB325C"/>
    <w:rsid w:val="7E4650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